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5" w:rsidRPr="00F17125" w:rsidRDefault="00F17125" w:rsidP="00F17125">
      <w:pPr>
        <w:jc w:val="center"/>
        <w:rPr>
          <w:b/>
          <w:sz w:val="28"/>
        </w:rPr>
      </w:pPr>
      <w:r>
        <w:rPr>
          <w:b/>
          <w:sz w:val="28"/>
        </w:rPr>
        <w:t xml:space="preserve">PPS </w:t>
      </w:r>
      <w:r w:rsidR="006343F5" w:rsidRPr="00F17125">
        <w:rPr>
          <w:b/>
          <w:sz w:val="28"/>
        </w:rPr>
        <w:t>CORE Service Populations</w:t>
      </w:r>
    </w:p>
    <w:p w:rsidR="002E7EED" w:rsidRDefault="00E6231C" w:rsidP="00E6231C">
      <w:r>
        <w:t xml:space="preserve">CORE client and service data module is the Department’s catch all module for individuals who do not require reporting to a program specific module like substance abuse, mental health, </w:t>
      </w:r>
      <w:r w:rsidR="006C0444">
        <w:t xml:space="preserve">birth-to-three, </w:t>
      </w:r>
      <w:r>
        <w:t xml:space="preserve">or CLTS. </w:t>
      </w:r>
      <w:r w:rsidR="005C7240">
        <w:t>Clients are reported to PPS either by c</w:t>
      </w:r>
      <w:r w:rsidR="006767E6">
        <w:t xml:space="preserve">ounty </w:t>
      </w:r>
      <w:r w:rsidR="005C7240">
        <w:t>D</w:t>
      </w:r>
      <w:r w:rsidR="001030D0">
        <w:t>epartments</w:t>
      </w:r>
      <w:r w:rsidR="006767E6">
        <w:t xml:space="preserve"> of H</w:t>
      </w:r>
      <w:r w:rsidR="00AD5E6E">
        <w:t>uman Services</w:t>
      </w:r>
      <w:r w:rsidR="006767E6">
        <w:t xml:space="preserve"> or Social Services, or reg</w:t>
      </w:r>
      <w:r w:rsidR="005C7240">
        <w:t>ional Human Services coalitions</w:t>
      </w:r>
      <w:r w:rsidR="006767E6">
        <w:t xml:space="preserve">.  </w:t>
      </w:r>
    </w:p>
    <w:p w:rsidR="002E7EED" w:rsidRDefault="002E7EED" w:rsidP="002E7EED">
      <w:r>
        <w:t>The populations CORE captures are:</w:t>
      </w:r>
    </w:p>
    <w:p w:rsidR="002E7EED" w:rsidRDefault="002E7EED" w:rsidP="002E7EED">
      <w:pPr>
        <w:numPr>
          <w:ilvl w:val="0"/>
          <w:numId w:val="2"/>
        </w:numPr>
        <w:spacing w:after="0" w:line="240" w:lineRule="auto"/>
      </w:pPr>
      <w:r>
        <w:t>Non-children’s, non-mental health, and non-substance abuse services to clients who also receive children’s, mental health, and substance abuse services.</w:t>
      </w:r>
    </w:p>
    <w:p w:rsidR="002E7EED" w:rsidRDefault="002E7EED" w:rsidP="002E7EED">
      <w:pPr>
        <w:numPr>
          <w:ilvl w:val="0"/>
          <w:numId w:val="2"/>
        </w:numPr>
        <w:spacing w:after="0" w:line="240" w:lineRule="auto"/>
      </w:pPr>
      <w:r>
        <w:t>Clients who are not served at all through the children’s, mental health, and substance abuse services modules.</w:t>
      </w:r>
    </w:p>
    <w:p w:rsidR="002E7EED" w:rsidRDefault="002E7EED" w:rsidP="002E7EED">
      <w:pPr>
        <w:spacing w:after="0" w:line="240" w:lineRule="auto"/>
        <w:ind w:left="720"/>
      </w:pPr>
    </w:p>
    <w:p w:rsidR="002E7EED" w:rsidRPr="001030D0" w:rsidRDefault="002E7EED" w:rsidP="002E7EED">
      <w:r w:rsidRPr="001030D0">
        <w:t>Types of clients or services that may not be captured in these other modules could include (but are not limited to):</w:t>
      </w:r>
    </w:p>
    <w:p w:rsidR="002E7EED" w:rsidRPr="001030D0" w:rsidRDefault="002E7EED" w:rsidP="002E7EED">
      <w:pPr>
        <w:numPr>
          <w:ilvl w:val="0"/>
          <w:numId w:val="1"/>
        </w:numPr>
        <w:spacing w:after="0" w:line="240" w:lineRule="auto"/>
      </w:pPr>
      <w:r w:rsidRPr="001030D0">
        <w:t>Clients receiving adult protective services, including investigations or protective placements</w:t>
      </w:r>
    </w:p>
    <w:p w:rsidR="002E7EED" w:rsidRPr="001030D0" w:rsidRDefault="002E7EED" w:rsidP="002E7EED">
      <w:pPr>
        <w:numPr>
          <w:ilvl w:val="0"/>
          <w:numId w:val="1"/>
        </w:numPr>
        <w:spacing w:after="0" w:line="240" w:lineRule="auto"/>
      </w:pPr>
      <w:r w:rsidRPr="001030D0">
        <w:t xml:space="preserve">Services to seniors including nutrition assistance, senior centers, elder abuse, and transportation </w:t>
      </w:r>
    </w:p>
    <w:p w:rsidR="002E7EED" w:rsidRPr="001030D0" w:rsidRDefault="002E7EED" w:rsidP="002E7EED">
      <w:pPr>
        <w:numPr>
          <w:ilvl w:val="0"/>
          <w:numId w:val="1"/>
        </w:numPr>
        <w:spacing w:after="0" w:line="240" w:lineRule="auto"/>
      </w:pPr>
      <w:r w:rsidRPr="001030D0">
        <w:t>Individuals of all ages receiving heating assistance</w:t>
      </w:r>
    </w:p>
    <w:p w:rsidR="002E7EED" w:rsidRDefault="002E7EED" w:rsidP="002E7EED">
      <w:pPr>
        <w:spacing w:after="0" w:line="240" w:lineRule="auto"/>
      </w:pPr>
    </w:p>
    <w:p w:rsidR="002E7EED" w:rsidRDefault="002E7EED" w:rsidP="002E7EED">
      <w:r>
        <w:t>The most used target groups and SPC codes service count are included in the</w:t>
      </w:r>
      <w:r w:rsidR="00F23EBC">
        <w:t xml:space="preserve"> following</w:t>
      </w:r>
      <w:r>
        <w:t xml:space="preserve"> table.  The service count data are unduplicated records.  </w:t>
      </w: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3505"/>
        <w:gridCol w:w="1375"/>
      </w:tblGrid>
      <w:tr w:rsidR="002E7EED" w:rsidRPr="005A0E31" w:rsidTr="004C6E19">
        <w:trPr>
          <w:trHeight w:val="300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2E7EED" w:rsidRPr="005A0E31" w:rsidRDefault="002E7EED" w:rsidP="004C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31">
              <w:rPr>
                <w:rFonts w:ascii="Calibri" w:eastAsia="Times New Roman" w:hAnsi="Calibri" w:cs="Calibri"/>
                <w:b/>
                <w:bCs/>
                <w:color w:val="000000"/>
              </w:rPr>
              <w:t>Adults and elderly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ED" w:rsidRPr="005A0E31" w:rsidRDefault="002E7EED" w:rsidP="004C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 xml:space="preserve">SPC </w:t>
            </w:r>
            <w:r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ED" w:rsidRPr="005A0E31" w:rsidRDefault="002E7EED" w:rsidP="004C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Service Count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Intake assessment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Court intake and studies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097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2E7EED" w:rsidRPr="005A0E31" w:rsidRDefault="002E7EED" w:rsidP="004C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31">
              <w:rPr>
                <w:rFonts w:ascii="Calibri" w:eastAsia="Times New Roman" w:hAnsi="Calibri" w:cs="Calibri"/>
                <w:b/>
                <w:bCs/>
                <w:color w:val="000000"/>
              </w:rPr>
              <w:t>Children and family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Counseling/therapeutic resources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941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Community Living/Support Services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2E7EED" w:rsidRPr="005A0E31" w:rsidRDefault="002E7EED" w:rsidP="004C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31">
              <w:rPr>
                <w:rFonts w:ascii="Calibri" w:eastAsia="Times New Roman" w:hAnsi="Calibri" w:cs="Calibri"/>
                <w:b/>
                <w:bCs/>
                <w:color w:val="000000"/>
              </w:rPr>
              <w:t>Developmental disability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Work related services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Community Living/Support Services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</w:tr>
      <w:tr w:rsidR="002E7EED" w:rsidRPr="005A0E31" w:rsidTr="004C6E19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ED" w:rsidRPr="005A0E31" w:rsidRDefault="002E7EED" w:rsidP="004C6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0E3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5A0E31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</w:tr>
    </w:tbl>
    <w:p w:rsidR="002E7EED" w:rsidRDefault="002E7EED" w:rsidP="002E7EED"/>
    <w:p w:rsidR="00DF3ECD" w:rsidRPr="00D12123" w:rsidRDefault="00DF3ECD">
      <w:pPr>
        <w:rPr>
          <w:rFonts w:cstheme="minorHAnsi"/>
          <w:b/>
          <w:color w:val="19150F"/>
        </w:rPr>
      </w:pPr>
      <w:r w:rsidRPr="00D12123">
        <w:rPr>
          <w:rFonts w:cstheme="minorHAnsi"/>
          <w:b/>
          <w:color w:val="19150F"/>
        </w:rPr>
        <w:t>Federal Reporting Requirements</w:t>
      </w:r>
    </w:p>
    <w:p w:rsidR="006D3B44" w:rsidRDefault="001C6AD6" w:rsidP="00D12123">
      <w:pPr>
        <w:rPr>
          <w:rFonts w:cstheme="minorHAnsi"/>
          <w:color w:val="19150F"/>
        </w:rPr>
      </w:pPr>
      <w:r w:rsidRPr="00D12123">
        <w:rPr>
          <w:rFonts w:cstheme="minorHAnsi"/>
          <w:color w:val="19150F"/>
        </w:rPr>
        <w:t xml:space="preserve">The Federal requirements </w:t>
      </w:r>
      <w:r w:rsidR="003C568D">
        <w:rPr>
          <w:rFonts w:cstheme="minorHAnsi"/>
          <w:color w:val="19150F"/>
        </w:rPr>
        <w:t>are determined by Title XX of the Social Security Act and guidance from the Office of Community Services and are fairly broad</w:t>
      </w:r>
      <w:r w:rsidRPr="00D12123">
        <w:rPr>
          <w:rFonts w:cstheme="minorHAnsi"/>
          <w:color w:val="19150F"/>
        </w:rPr>
        <w:t>.  D</w:t>
      </w:r>
      <w:r w:rsidR="00DF3ECD" w:rsidRPr="00D12123">
        <w:rPr>
          <w:rFonts w:cstheme="minorHAnsi"/>
          <w:color w:val="19150F"/>
        </w:rPr>
        <w:t xml:space="preserve">HS needs to collect data to meet the requirements of </w:t>
      </w:r>
      <w:hyperlink r:id="rId5" w:history="1">
        <w:r w:rsidR="00DF3ECD" w:rsidRPr="00D12123">
          <w:rPr>
            <w:rStyle w:val="Hyperlink"/>
            <w:rFonts w:cstheme="minorHAnsi"/>
          </w:rPr>
          <w:t>45CFR 96.74(a) (1) through (4)</w:t>
        </w:r>
      </w:hyperlink>
      <w:r w:rsidR="006D3B44">
        <w:rPr>
          <w:rFonts w:cstheme="minorHAnsi"/>
          <w:color w:val="19150F"/>
        </w:rPr>
        <w:t>:</w:t>
      </w:r>
      <w:r w:rsidR="00DF3ECD" w:rsidRPr="00D12123">
        <w:rPr>
          <w:rFonts w:cstheme="minorHAnsi"/>
          <w:color w:val="19150F"/>
        </w:rPr>
        <w:t xml:space="preserve"> </w:t>
      </w:r>
    </w:p>
    <w:p w:rsidR="006D3B44" w:rsidRDefault="003B34CB" w:rsidP="006D3B44">
      <w:pPr>
        <w:ind w:left="720"/>
        <w:rPr>
          <w:rFonts w:cstheme="minorHAnsi"/>
          <w:color w:val="19150F"/>
        </w:rPr>
      </w:pPr>
      <w:r w:rsidRPr="00D12123">
        <w:rPr>
          <w:rFonts w:cstheme="minorHAnsi"/>
          <w:color w:val="19150F"/>
        </w:rPr>
        <w:lastRenderedPageBreak/>
        <w:t xml:space="preserve">96.74 (a)(1) states </w:t>
      </w:r>
      <w:r w:rsidR="00DF3ECD" w:rsidRPr="00D12123">
        <w:rPr>
          <w:rFonts w:cstheme="minorHAnsi"/>
          <w:color w:val="19150F"/>
        </w:rPr>
        <w:t xml:space="preserve">DHS must gather data on the number </w:t>
      </w:r>
      <w:r w:rsidR="001C6AD6" w:rsidRPr="00D12123">
        <w:rPr>
          <w:rFonts w:cstheme="minorHAnsi"/>
          <w:color w:val="19150F"/>
        </w:rPr>
        <w:t>o</w:t>
      </w:r>
      <w:r w:rsidR="00DF3ECD" w:rsidRPr="00D12123">
        <w:rPr>
          <w:rFonts w:cstheme="minorHAnsi"/>
          <w:color w:val="19150F"/>
        </w:rPr>
        <w:t>f individuals who receive services paid for in whole or in part with federal SSBG funds, separated by adults and children</w:t>
      </w:r>
      <w:r w:rsidR="001C6AD6" w:rsidRPr="00D12123">
        <w:rPr>
          <w:rFonts w:cstheme="minorHAnsi"/>
          <w:color w:val="19150F"/>
        </w:rPr>
        <w:t xml:space="preserve"> as determined by each state</w:t>
      </w:r>
      <w:r w:rsidR="00DF3ECD" w:rsidRPr="00D12123">
        <w:rPr>
          <w:rFonts w:cstheme="minorHAnsi"/>
          <w:color w:val="19150F"/>
        </w:rPr>
        <w:t>.</w:t>
      </w:r>
      <w:r w:rsidRPr="00D12123">
        <w:rPr>
          <w:rFonts w:cstheme="minorHAnsi"/>
          <w:color w:val="19150F"/>
        </w:rPr>
        <w:t xml:space="preserve"> </w:t>
      </w:r>
    </w:p>
    <w:p w:rsidR="003B34CB" w:rsidRPr="00D12123" w:rsidRDefault="003B34CB" w:rsidP="006D3B44">
      <w:pPr>
        <w:ind w:left="720"/>
        <w:rPr>
          <w:rFonts w:cstheme="minorHAnsi"/>
          <w:color w:val="19150F"/>
        </w:rPr>
      </w:pPr>
      <w:r w:rsidRPr="00D12123">
        <w:rPr>
          <w:rFonts w:cstheme="minorHAnsi"/>
          <w:color w:val="19150F"/>
        </w:rPr>
        <w:t>96.74 (b</w:t>
      </w:r>
      <w:proofErr w:type="gramStart"/>
      <w:r w:rsidRPr="00D12123">
        <w:rPr>
          <w:rFonts w:cstheme="minorHAnsi"/>
          <w:color w:val="19150F"/>
        </w:rPr>
        <w:t>)(</w:t>
      </w:r>
      <w:proofErr w:type="gramEnd"/>
      <w:r w:rsidRPr="00D12123">
        <w:rPr>
          <w:rFonts w:cstheme="minorHAnsi"/>
          <w:color w:val="19150F"/>
        </w:rPr>
        <w:t xml:space="preserve">3) directs states to provide actual </w:t>
      </w:r>
      <w:r w:rsidR="00D55C4A">
        <w:rPr>
          <w:rFonts w:cstheme="minorHAnsi"/>
          <w:color w:val="19150F"/>
        </w:rPr>
        <w:t>counts</w:t>
      </w:r>
      <w:r w:rsidR="003C568D">
        <w:rPr>
          <w:rFonts w:cstheme="minorHAnsi"/>
          <w:color w:val="19150F"/>
        </w:rPr>
        <w:t xml:space="preserve"> of recipients and expenses</w:t>
      </w:r>
      <w:r w:rsidR="00D55C4A">
        <w:rPr>
          <w:rFonts w:cstheme="minorHAnsi"/>
          <w:color w:val="19150F"/>
        </w:rPr>
        <w:t xml:space="preserve">.  </w:t>
      </w:r>
      <w:r w:rsidR="00E54AF6">
        <w:rPr>
          <w:rFonts w:cstheme="minorHAnsi"/>
          <w:color w:val="19150F"/>
        </w:rPr>
        <w:t xml:space="preserve">To determine service counts for Federal reporting, </w:t>
      </w:r>
      <w:r w:rsidR="00D55C4A">
        <w:rPr>
          <w:rFonts w:cstheme="minorHAnsi"/>
          <w:color w:val="19150F"/>
        </w:rPr>
        <w:t xml:space="preserve">DHS combines CORE data with other data sources and distributes the services into one of the 29 service categories stipulated by the Social Security Act.  </w:t>
      </w:r>
    </w:p>
    <w:p w:rsidR="008C5961" w:rsidRPr="00D12123" w:rsidRDefault="006343F5">
      <w:pPr>
        <w:rPr>
          <w:b/>
        </w:rPr>
      </w:pPr>
      <w:r w:rsidRPr="00D12123">
        <w:rPr>
          <w:b/>
        </w:rPr>
        <w:t>C</w:t>
      </w:r>
      <w:r w:rsidR="008C5961" w:rsidRPr="00D12123">
        <w:rPr>
          <w:b/>
        </w:rPr>
        <w:t>ORE Data</w:t>
      </w:r>
      <w:r w:rsidR="002F271C" w:rsidRPr="00D12123">
        <w:rPr>
          <w:b/>
        </w:rPr>
        <w:t xml:space="preserve"> Requirements</w:t>
      </w:r>
    </w:p>
    <w:p w:rsidR="00786FA5" w:rsidRDefault="001D24AE">
      <w:r>
        <w:t xml:space="preserve">The table below </w:t>
      </w:r>
      <w:r w:rsidR="002F271C">
        <w:t>captures all of</w:t>
      </w:r>
      <w:r>
        <w:t xml:space="preserve"> </w:t>
      </w:r>
      <w:r w:rsidR="00846EE4">
        <w:t>the categories COR</w:t>
      </w:r>
      <w:r w:rsidR="00786FA5">
        <w:t>E</w:t>
      </w:r>
      <w:r>
        <w:t>’s</w:t>
      </w:r>
      <w:r w:rsidR="00786FA5">
        <w:t xml:space="preserve"> </w:t>
      </w:r>
      <w:r w:rsidR="002F271C">
        <w:t>currently collects</w:t>
      </w:r>
      <w:r w:rsidR="00786FA5">
        <w:t>:</w:t>
      </w: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2436"/>
        <w:gridCol w:w="3544"/>
      </w:tblGrid>
      <w:tr w:rsidR="001D24AE" w:rsidRPr="001D24AE" w:rsidTr="001D24AE">
        <w:trPr>
          <w:trHeight w:val="300"/>
          <w:jc w:val="center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4AE" w:rsidRPr="001D24AE" w:rsidRDefault="001D24AE" w:rsidP="001D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CORE SERVICES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AE" w:rsidRPr="001D24AE" w:rsidRDefault="001D24AE" w:rsidP="001D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4AE">
              <w:rPr>
                <w:rFonts w:ascii="Calibri" w:eastAsia="Times New Roman" w:hAnsi="Calibri" w:cs="Calibri"/>
                <w:b/>
                <w:bCs/>
                <w:color w:val="000000"/>
              </w:rPr>
              <w:t>Required Categories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AE" w:rsidRPr="001D24AE" w:rsidRDefault="001D24AE" w:rsidP="001D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4AE">
              <w:rPr>
                <w:rFonts w:ascii="Calibri" w:eastAsia="Times New Roman" w:hAnsi="Calibri" w:cs="Calibri"/>
                <w:b/>
                <w:bCs/>
                <w:color w:val="000000"/>
              </w:rPr>
              <w:t>Optional Categories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Birth date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Medicaid Checkbox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SSN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Agency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County of Responsibility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Episode Reporting Information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Worker ID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Ethnicity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Related Family ID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Client Characteristics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Local Data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SPC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Case Review Date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SPC Start Date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Closing Date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Target Group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Case Closing Reason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Residential Address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Services Info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SPC End Date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Provider WPI/NPI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SPC Review Date</w:t>
            </w:r>
          </w:p>
        </w:tc>
      </w:tr>
      <w:tr w:rsidR="001D24AE" w:rsidRPr="001D24AE" w:rsidTr="001D24AE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AE" w:rsidRPr="001D24AE" w:rsidRDefault="001D24AE" w:rsidP="001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4AE">
              <w:rPr>
                <w:rFonts w:ascii="Calibri" w:eastAsia="Times New Roman" w:hAnsi="Calibri" w:cs="Calibri"/>
                <w:color w:val="000000"/>
              </w:rPr>
              <w:t>Service Worker ID</w:t>
            </w:r>
          </w:p>
        </w:tc>
      </w:tr>
    </w:tbl>
    <w:p w:rsidR="001D24AE" w:rsidRDefault="001D24AE"/>
    <w:p w:rsidR="009A4E25" w:rsidRDefault="009A4E25">
      <w:r>
        <w:t xml:space="preserve">With questions about the CORE module requirements, please contact: </w:t>
      </w:r>
    </w:p>
    <w:p w:rsidR="009A4E25" w:rsidRDefault="009A4E25" w:rsidP="009A4E25">
      <w:pPr>
        <w:spacing w:after="0"/>
      </w:pPr>
      <w:r>
        <w:t>Dan DeValve</w:t>
      </w:r>
    </w:p>
    <w:p w:rsidR="009A4E25" w:rsidRDefault="009A4E25" w:rsidP="009A4E25">
      <w:pPr>
        <w:spacing w:after="0"/>
      </w:pPr>
      <w:r>
        <w:t>Federal Grants Coordinator</w:t>
      </w:r>
    </w:p>
    <w:p w:rsidR="009A4E25" w:rsidRDefault="009A4E25" w:rsidP="009A4E25">
      <w:pPr>
        <w:spacing w:after="0"/>
      </w:pPr>
      <w:r>
        <w:t>Office of Policy Initiatives and Budget</w:t>
      </w:r>
    </w:p>
    <w:p w:rsidR="009A4E25" w:rsidRDefault="009A4E25" w:rsidP="009A4E25">
      <w:pPr>
        <w:spacing w:after="0"/>
      </w:pPr>
      <w:r>
        <w:t>Department of Health Services</w:t>
      </w:r>
    </w:p>
    <w:p w:rsidR="009A4E25" w:rsidRDefault="009A4E25" w:rsidP="009A4E25">
      <w:pPr>
        <w:spacing w:after="0"/>
      </w:pPr>
      <w:r>
        <w:t>(703) 927-8054</w:t>
      </w:r>
    </w:p>
    <w:p w:rsidR="009A4E25" w:rsidRDefault="009A4E25" w:rsidP="009A4E25">
      <w:pPr>
        <w:spacing w:after="0"/>
      </w:pPr>
      <w:bookmarkStart w:id="0" w:name="_GoBack"/>
      <w:bookmarkEnd w:id="0"/>
      <w:r>
        <w:t>daniel.devalve@dhs.wisconsin.gov</w:t>
      </w:r>
    </w:p>
    <w:sectPr w:rsidR="009A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532"/>
    <w:multiLevelType w:val="hybridMultilevel"/>
    <w:tmpl w:val="5DF84B46"/>
    <w:lvl w:ilvl="0" w:tplc="7C08C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73C"/>
    <w:multiLevelType w:val="hybridMultilevel"/>
    <w:tmpl w:val="1346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61A"/>
    <w:multiLevelType w:val="hybridMultilevel"/>
    <w:tmpl w:val="472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4A6"/>
    <w:multiLevelType w:val="hybridMultilevel"/>
    <w:tmpl w:val="099850AE"/>
    <w:lvl w:ilvl="0" w:tplc="AEBAA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05F36"/>
    <w:multiLevelType w:val="hybridMultilevel"/>
    <w:tmpl w:val="A5621F3C"/>
    <w:lvl w:ilvl="0" w:tplc="7C08C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B"/>
    <w:rsid w:val="000063E5"/>
    <w:rsid w:val="001030D0"/>
    <w:rsid w:val="00124AC4"/>
    <w:rsid w:val="001935C8"/>
    <w:rsid w:val="001C6AD6"/>
    <w:rsid w:val="001D24AE"/>
    <w:rsid w:val="002E44B5"/>
    <w:rsid w:val="002E7EED"/>
    <w:rsid w:val="002F271C"/>
    <w:rsid w:val="003569B5"/>
    <w:rsid w:val="003B34CB"/>
    <w:rsid w:val="003C2256"/>
    <w:rsid w:val="003C568D"/>
    <w:rsid w:val="00492582"/>
    <w:rsid w:val="005545C9"/>
    <w:rsid w:val="005A0E31"/>
    <w:rsid w:val="005C7240"/>
    <w:rsid w:val="006343F5"/>
    <w:rsid w:val="00670197"/>
    <w:rsid w:val="006767E6"/>
    <w:rsid w:val="006C0444"/>
    <w:rsid w:val="006C1B36"/>
    <w:rsid w:val="006D3B44"/>
    <w:rsid w:val="006F1BC9"/>
    <w:rsid w:val="0071659C"/>
    <w:rsid w:val="00757606"/>
    <w:rsid w:val="00776742"/>
    <w:rsid w:val="00781BD8"/>
    <w:rsid w:val="00786FA5"/>
    <w:rsid w:val="00795324"/>
    <w:rsid w:val="007977EA"/>
    <w:rsid w:val="007F16F9"/>
    <w:rsid w:val="00846EE4"/>
    <w:rsid w:val="008C5961"/>
    <w:rsid w:val="008E0943"/>
    <w:rsid w:val="008E5EDE"/>
    <w:rsid w:val="009A4E25"/>
    <w:rsid w:val="009E64C1"/>
    <w:rsid w:val="00A24652"/>
    <w:rsid w:val="00A47F5F"/>
    <w:rsid w:val="00A9406B"/>
    <w:rsid w:val="00AC5C29"/>
    <w:rsid w:val="00AD5E6E"/>
    <w:rsid w:val="00B56009"/>
    <w:rsid w:val="00BF0A7A"/>
    <w:rsid w:val="00C00836"/>
    <w:rsid w:val="00C6551C"/>
    <w:rsid w:val="00C847E6"/>
    <w:rsid w:val="00CD1F8F"/>
    <w:rsid w:val="00D12123"/>
    <w:rsid w:val="00D55C4A"/>
    <w:rsid w:val="00D705DC"/>
    <w:rsid w:val="00DF3ECD"/>
    <w:rsid w:val="00E36E05"/>
    <w:rsid w:val="00E54AF6"/>
    <w:rsid w:val="00E6231C"/>
    <w:rsid w:val="00F17125"/>
    <w:rsid w:val="00F23EBC"/>
    <w:rsid w:val="00F62DB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DA97"/>
  <w15:docId w15:val="{3C10BF95-266A-4E06-9A67-E0F303E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.cornell.edu/cfr/text/45/96.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Christopherson, Michael</dc:creator>
  <cp:lastModifiedBy>Connor, Tim G</cp:lastModifiedBy>
  <cp:revision>4</cp:revision>
  <dcterms:created xsi:type="dcterms:W3CDTF">2021-08-25T07:18:00Z</dcterms:created>
  <dcterms:modified xsi:type="dcterms:W3CDTF">2021-08-27T23:08:00Z</dcterms:modified>
</cp:coreProperties>
</file>